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EE0E50">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rPr>
      </w:pPr>
      <w:r>
        <w:rPr>
          <w:rFonts w:hint="eastAsia" w:ascii="方正小标宋简体" w:hAnsi="方正小标宋简体" w:eastAsia="方正小标宋简体" w:cs="Times New Roman"/>
          <w:sz w:val="40"/>
          <w:szCs w:val="40"/>
          <w:lang w:val="en-US" w:eastAsia="zh-CN"/>
        </w:rPr>
        <w:t>高安市大城镇2025年</w:t>
      </w:r>
      <w:r>
        <w:rPr>
          <w:rFonts w:hint="eastAsia" w:ascii="方正小标宋简体" w:hAnsi="方正小标宋简体" w:eastAsia="方正小标宋简体" w:cs="Times New Roman"/>
          <w:sz w:val="40"/>
          <w:szCs w:val="40"/>
        </w:rPr>
        <w:t>政府信息公开工作年度报告</w:t>
      </w:r>
    </w:p>
    <w:p w14:paraId="3B85349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0"/>
        <w:jc w:val="both"/>
        <w:rPr>
          <w:rFonts w:hint="eastAsia" w:ascii="宋体" w:hAnsi="宋体" w:eastAsia="宋体" w:cs="宋体"/>
          <w:i w:val="0"/>
          <w:iCs w:val="0"/>
          <w:caps w:val="0"/>
          <w:color w:val="000000"/>
          <w:spacing w:val="0"/>
          <w:kern w:val="2"/>
          <w:sz w:val="32"/>
          <w:szCs w:val="32"/>
          <w:shd w:val="clear" w:fill="FFFFFF"/>
          <w:lang w:val="en-US" w:eastAsia="zh-CN" w:bidi="ar-SA"/>
        </w:rPr>
      </w:pPr>
      <w:r>
        <w:rPr>
          <w:rFonts w:hint="eastAsia" w:ascii="宋体" w:hAnsi="宋体" w:eastAsia="宋体" w:cs="宋体"/>
          <w:i w:val="0"/>
          <w:iCs w:val="0"/>
          <w:caps w:val="0"/>
          <w:color w:val="000000"/>
          <w:spacing w:val="0"/>
          <w:kern w:val="2"/>
          <w:sz w:val="32"/>
          <w:szCs w:val="32"/>
          <w:shd w:val="clear" w:fill="FFFFFF"/>
          <w:lang w:val="en-US" w:eastAsia="zh-CN" w:bidi="ar-SA"/>
        </w:rPr>
        <w:t>本报告依据《中华人民共和国政府信息公开条例》（国务院令第711号）和《国务院办公厅政府信息与政务公开办公室关于印发中华人民共和国政府信息公开工作年度报告格式的通知》（国办公开办函〔2021〕30号）要求，由大城镇结合有关统计数据编制。本年度报告中所列数据的统计期限自2025年1月1日起至2025年12月31日止。全文包括总体情况、主动公开政府信息情况、收到和处理政府信息公开申请情况、政府信息公开行政复议行政诉讼情况、存在的主要问题及改进情况、其他需要报告的事项。</w:t>
      </w:r>
      <w:r>
        <w:rPr>
          <w:rFonts w:hint="eastAsia" w:ascii="宋体" w:hAnsi="宋体" w:eastAsia="宋体" w:cs="宋体"/>
          <w:i w:val="0"/>
          <w:iCs w:val="0"/>
          <w:caps w:val="0"/>
          <w:color w:val="000000"/>
          <w:spacing w:val="0"/>
          <w:kern w:val="2"/>
          <w:sz w:val="32"/>
          <w:szCs w:val="32"/>
          <w:shd w:val="clear" w:fill="FFFFFF"/>
          <w:lang w:val="en-US" w:eastAsia="zh-CN" w:bidi="ar-SA"/>
        </w:rPr>
        <w:t>本年度报告的电子版可以从高安市人民政府网站（http://www.gaoan.gov.cn/）下载。如对本报告有任何疑问，请与大城镇党政办联系，电话：0795-5792148，邮编：330814。</w:t>
      </w:r>
    </w:p>
    <w:p w14:paraId="299B883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0"/>
        <w:jc w:val="both"/>
        <w:rPr>
          <w:rFonts w:hint="eastAsia" w:ascii="宋体" w:hAnsi="宋体" w:eastAsia="宋体" w:cs="宋体"/>
          <w:i w:val="0"/>
          <w:iCs w:val="0"/>
          <w:caps w:val="0"/>
          <w:color w:val="000000"/>
          <w:spacing w:val="0"/>
          <w:sz w:val="32"/>
          <w:szCs w:val="32"/>
          <w:shd w:val="clear" w:fill="FFFFFF"/>
        </w:rPr>
      </w:pPr>
      <w:r>
        <w:rPr>
          <w:rFonts w:hint="eastAsia" w:ascii="宋体" w:hAnsi="宋体" w:eastAsia="宋体" w:cs="宋体"/>
          <w:i w:val="0"/>
          <w:iCs w:val="0"/>
          <w:caps w:val="0"/>
          <w:color w:val="000000"/>
          <w:spacing w:val="0"/>
          <w:kern w:val="2"/>
          <w:sz w:val="32"/>
          <w:szCs w:val="32"/>
          <w:shd w:val="clear" w:fill="FFFFFF"/>
          <w:lang w:val="en-US" w:eastAsia="zh-CN" w:bidi="ar-SA"/>
        </w:rPr>
        <w:t>2025年大城镇人民政府坚持以习近平新时代中国特色社会主义思想为指导，深入贯彻党的二十届三中全会精神，严格落实《国务院办公厅印发〈关于全面推进政务公开工作的意见〉实施细则的通知》（国办发〔2016〕80号）和《国务院办公厅关于印发2021年政务公开工作要点的通知》（国办发〔2021〕30号）的要求。同时积极明确目标任务，紧紧围绕市委、市政府中心工作及社会群众关注关切，着力提升政府信息公开质量，推进拓宽政府信息公开渠道，不断增强政府信息公开实效。</w:t>
      </w:r>
    </w:p>
    <w:p w14:paraId="7996A226">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总体情况</w:t>
      </w:r>
    </w:p>
    <w:p w14:paraId="28CC6004">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3" w:firstLineChars="200"/>
        <w:jc w:val="both"/>
        <w:textAlignment w:val="auto"/>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pPr>
      <w:r>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t>主动公开</w:t>
      </w:r>
    </w:p>
    <w:p w14:paraId="658B6251">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i w:val="0"/>
          <w:iCs w:val="0"/>
          <w:caps w:val="0"/>
          <w:color w:val="auto"/>
          <w:spacing w:val="0"/>
          <w:kern w:val="0"/>
          <w:sz w:val="32"/>
          <w:szCs w:val="32"/>
          <w:shd w:val="clear" w:color="auto" w:fill="FFFFFF"/>
          <w:lang w:val="en-US" w:eastAsia="zh-CN" w:bidi="ar"/>
        </w:rPr>
      </w:pPr>
      <w:r>
        <w:rPr>
          <w:rFonts w:hint="eastAsia" w:ascii="宋体" w:hAnsi="宋体" w:eastAsia="宋体" w:cs="宋体"/>
          <w:i w:val="0"/>
          <w:iCs w:val="0"/>
          <w:caps w:val="0"/>
          <w:color w:val="auto"/>
          <w:spacing w:val="0"/>
          <w:sz w:val="32"/>
          <w:szCs w:val="32"/>
          <w:shd w:val="clear" w:color="auto" w:fill="FFFFFF"/>
          <w:lang w:eastAsia="zh-CN"/>
        </w:rPr>
        <w:t>202</w:t>
      </w:r>
      <w:r>
        <w:rPr>
          <w:rFonts w:hint="eastAsia" w:ascii="宋体" w:hAnsi="宋体" w:eastAsia="宋体" w:cs="宋体"/>
          <w:i w:val="0"/>
          <w:iCs w:val="0"/>
          <w:caps w:val="0"/>
          <w:color w:val="auto"/>
          <w:spacing w:val="0"/>
          <w:sz w:val="32"/>
          <w:szCs w:val="32"/>
          <w:shd w:val="clear" w:color="auto" w:fill="FFFFFF"/>
          <w:lang w:val="en-US" w:eastAsia="zh-CN"/>
        </w:rPr>
        <w:t>5</w:t>
      </w:r>
      <w:r>
        <w:rPr>
          <w:rFonts w:hint="eastAsia" w:ascii="宋体" w:hAnsi="宋体" w:eastAsia="宋体" w:cs="宋体"/>
          <w:i w:val="0"/>
          <w:iCs w:val="0"/>
          <w:caps w:val="0"/>
          <w:color w:val="auto"/>
          <w:spacing w:val="0"/>
          <w:sz w:val="32"/>
          <w:szCs w:val="32"/>
          <w:shd w:val="clear" w:color="auto" w:fill="FFFFFF"/>
        </w:rPr>
        <w:t>年我镇通过高安市人民政府门户网站主动向社会公开</w:t>
      </w:r>
      <w:r>
        <w:rPr>
          <w:rFonts w:hint="eastAsia" w:ascii="宋体" w:hAnsi="宋体" w:eastAsia="宋体" w:cs="宋体"/>
          <w:i w:val="0"/>
          <w:iCs w:val="0"/>
          <w:caps w:val="0"/>
          <w:color w:val="auto"/>
          <w:spacing w:val="0"/>
          <w:sz w:val="32"/>
          <w:szCs w:val="32"/>
          <w:shd w:val="clear" w:color="auto" w:fill="FFFFFF"/>
          <w:lang w:val="en-US" w:eastAsia="zh-CN"/>
        </w:rPr>
        <w:t>政策类、综合类、结果公开类、监管类、服务类等</w:t>
      </w:r>
      <w:r>
        <w:rPr>
          <w:rFonts w:hint="eastAsia" w:ascii="宋体" w:hAnsi="宋体" w:eastAsia="宋体" w:cs="宋体"/>
          <w:i w:val="0"/>
          <w:iCs w:val="0"/>
          <w:caps w:val="0"/>
          <w:color w:val="auto"/>
          <w:spacing w:val="0"/>
          <w:sz w:val="32"/>
          <w:szCs w:val="32"/>
          <w:shd w:val="clear" w:color="auto" w:fill="FFFFFF"/>
        </w:rPr>
        <w:t>各类信息，</w:t>
      </w:r>
      <w:r>
        <w:rPr>
          <w:rFonts w:hint="eastAsia" w:ascii="宋体" w:hAnsi="宋体" w:eastAsia="宋体" w:cs="宋体"/>
          <w:i w:val="0"/>
          <w:iCs w:val="0"/>
          <w:caps w:val="0"/>
          <w:color w:val="auto"/>
          <w:spacing w:val="0"/>
          <w:kern w:val="0"/>
          <w:sz w:val="32"/>
          <w:szCs w:val="32"/>
          <w:shd w:val="clear" w:color="auto" w:fill="FFFFFF"/>
          <w:lang w:val="en-US" w:eastAsia="zh-CN" w:bidi="ar"/>
        </w:rPr>
        <w:t>公开信息总数为1285条（含村居公开信息）。严格落实《中华人民共和国政府信息公开条例》要求，合理界定公开范围，秉持及时、全面、准确的原则推进政务信息公开。依托政府网站等多渠道，切实保障群众的知情权与监督权。</w:t>
      </w:r>
    </w:p>
    <w:p w14:paraId="34C87B09">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pPr>
      <w:r>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t>依申请公开</w:t>
      </w:r>
    </w:p>
    <w:p w14:paraId="6495D4B1">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宋体" w:hAnsi="宋体" w:eastAsia="宋体" w:cs="宋体"/>
          <w:i w:val="0"/>
          <w:iCs w:val="0"/>
          <w:caps w:val="0"/>
          <w:color w:val="auto"/>
          <w:spacing w:val="0"/>
          <w:sz w:val="32"/>
          <w:szCs w:val="32"/>
          <w:shd w:val="clear" w:color="auto" w:fill="FFFFFF"/>
          <w:lang w:val="en-US" w:eastAsia="zh-CN"/>
        </w:rPr>
      </w:pPr>
      <w:r>
        <w:rPr>
          <w:rFonts w:hint="eastAsia" w:ascii="宋体" w:hAnsi="宋体" w:eastAsia="宋体" w:cs="宋体"/>
          <w:i w:val="0"/>
          <w:iCs w:val="0"/>
          <w:caps w:val="0"/>
          <w:color w:val="auto"/>
          <w:spacing w:val="0"/>
          <w:sz w:val="32"/>
          <w:szCs w:val="32"/>
          <w:shd w:val="clear" w:color="auto" w:fill="FFFFFF"/>
          <w:lang w:eastAsia="zh-CN"/>
        </w:rPr>
        <w:t>202</w:t>
      </w:r>
      <w:r>
        <w:rPr>
          <w:rFonts w:hint="eastAsia" w:ascii="宋体" w:hAnsi="宋体" w:eastAsia="宋体" w:cs="宋体"/>
          <w:i w:val="0"/>
          <w:iCs w:val="0"/>
          <w:caps w:val="0"/>
          <w:color w:val="auto"/>
          <w:spacing w:val="0"/>
          <w:sz w:val="32"/>
          <w:szCs w:val="32"/>
          <w:shd w:val="clear" w:color="auto" w:fill="FFFFFF"/>
          <w:lang w:val="en-US" w:eastAsia="zh-CN"/>
        </w:rPr>
        <w:t>5</w:t>
      </w:r>
      <w:r>
        <w:rPr>
          <w:rFonts w:hint="eastAsia" w:ascii="宋体" w:hAnsi="宋体" w:eastAsia="宋体" w:cs="宋体"/>
          <w:i w:val="0"/>
          <w:iCs w:val="0"/>
          <w:caps w:val="0"/>
          <w:color w:val="auto"/>
          <w:spacing w:val="0"/>
          <w:sz w:val="32"/>
          <w:szCs w:val="32"/>
          <w:shd w:val="clear" w:color="auto" w:fill="FFFFFF"/>
        </w:rPr>
        <w:t>年度我镇认真做好依申请公开工作。建立健全政府信息公开申请接收、登记、办理、审核、答复、归档等环节的制度规范。</w:t>
      </w:r>
      <w:r>
        <w:rPr>
          <w:rFonts w:hint="eastAsia" w:ascii="宋体" w:hAnsi="宋体" w:eastAsia="宋体" w:cs="宋体"/>
          <w:i w:val="0"/>
          <w:iCs w:val="0"/>
          <w:caps w:val="0"/>
          <w:color w:val="auto"/>
          <w:spacing w:val="0"/>
          <w:sz w:val="32"/>
          <w:szCs w:val="32"/>
          <w:shd w:val="clear" w:color="auto" w:fill="FFFFFF"/>
          <w:lang w:eastAsia="zh-CN"/>
        </w:rPr>
        <w:t>202</w:t>
      </w:r>
      <w:r>
        <w:rPr>
          <w:rFonts w:hint="eastAsia" w:ascii="宋体" w:hAnsi="宋体" w:eastAsia="宋体" w:cs="宋体"/>
          <w:i w:val="0"/>
          <w:iCs w:val="0"/>
          <w:caps w:val="0"/>
          <w:color w:val="auto"/>
          <w:spacing w:val="0"/>
          <w:sz w:val="32"/>
          <w:szCs w:val="32"/>
          <w:shd w:val="clear" w:color="auto" w:fill="FFFFFF"/>
          <w:lang w:val="en-US" w:eastAsia="zh-CN"/>
        </w:rPr>
        <w:t>5</w:t>
      </w:r>
      <w:r>
        <w:rPr>
          <w:rFonts w:hint="eastAsia" w:ascii="宋体" w:hAnsi="宋体" w:eastAsia="宋体" w:cs="宋体"/>
          <w:i w:val="0"/>
          <w:iCs w:val="0"/>
          <w:caps w:val="0"/>
          <w:color w:val="auto"/>
          <w:spacing w:val="0"/>
          <w:sz w:val="32"/>
          <w:szCs w:val="32"/>
          <w:shd w:val="clear" w:color="auto" w:fill="FFFFFF"/>
        </w:rPr>
        <w:t>年度</w:t>
      </w:r>
      <w:r>
        <w:rPr>
          <w:rFonts w:hint="eastAsia" w:ascii="宋体" w:hAnsi="宋体" w:eastAsia="宋体" w:cs="宋体"/>
          <w:i w:val="0"/>
          <w:iCs w:val="0"/>
          <w:caps w:val="0"/>
          <w:color w:val="auto"/>
          <w:spacing w:val="0"/>
          <w:sz w:val="32"/>
          <w:szCs w:val="32"/>
          <w:shd w:val="clear" w:color="auto" w:fill="FFFFFF"/>
          <w:lang w:val="en-US" w:eastAsia="zh-CN"/>
        </w:rPr>
        <w:t>我镇收到政府信息公开申请0件。</w:t>
      </w:r>
    </w:p>
    <w:p w14:paraId="1D910E16">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pPr>
      <w:r>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t>政府信息管理</w:t>
      </w:r>
    </w:p>
    <w:p w14:paraId="1BA758DC">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宋体" w:hAnsi="宋体" w:eastAsia="宋体" w:cs="宋体"/>
          <w:i w:val="0"/>
          <w:iCs w:val="0"/>
          <w:caps w:val="0"/>
          <w:color w:val="auto"/>
          <w:spacing w:val="0"/>
          <w:sz w:val="32"/>
          <w:szCs w:val="32"/>
          <w:shd w:val="clear" w:color="auto" w:fill="FFFFFF"/>
          <w:lang w:val="en-US" w:eastAsia="zh-CN"/>
        </w:rPr>
      </w:pPr>
      <w:r>
        <w:rPr>
          <w:rFonts w:hint="eastAsia" w:ascii="宋体" w:hAnsi="宋体" w:eastAsia="宋体" w:cs="宋体"/>
          <w:b w:val="0"/>
          <w:bCs w:val="0"/>
          <w:i w:val="0"/>
          <w:caps w:val="0"/>
          <w:color w:val="auto"/>
          <w:spacing w:val="0"/>
          <w:sz w:val="32"/>
          <w:szCs w:val="32"/>
          <w:shd w:val="clear" w:color="auto" w:fill="FFFFFF"/>
          <w:lang w:eastAsia="zh-CN"/>
        </w:rPr>
        <w:t>我镇规范政府信息发布流程，</w:t>
      </w:r>
      <w:r>
        <w:rPr>
          <w:rFonts w:hint="eastAsia" w:ascii="宋体" w:hAnsi="宋体" w:eastAsia="宋体" w:cs="宋体"/>
          <w:i w:val="0"/>
          <w:iCs w:val="0"/>
          <w:caps w:val="0"/>
          <w:color w:val="auto"/>
          <w:spacing w:val="0"/>
          <w:sz w:val="32"/>
          <w:szCs w:val="32"/>
          <w:shd w:val="clear" w:color="auto" w:fill="FFFFFF"/>
        </w:rPr>
        <w:t>加强信息发布前审查，强化网站信息安全管理</w:t>
      </w:r>
      <w:r>
        <w:rPr>
          <w:rFonts w:hint="eastAsia" w:ascii="宋体" w:hAnsi="宋体" w:eastAsia="宋体" w:cs="宋体"/>
          <w:i w:val="0"/>
          <w:iCs w:val="0"/>
          <w:caps w:val="0"/>
          <w:color w:val="auto"/>
          <w:spacing w:val="0"/>
          <w:sz w:val="32"/>
          <w:szCs w:val="32"/>
          <w:shd w:val="clear" w:color="auto" w:fill="FFFFFF"/>
          <w:lang w:eastAsia="zh-CN"/>
        </w:rPr>
        <w:t>，专人专岗，确保发布的信息准确无误。我镇</w:t>
      </w:r>
      <w:r>
        <w:rPr>
          <w:rFonts w:hint="eastAsia" w:ascii="宋体" w:hAnsi="宋体" w:eastAsia="宋体" w:cs="宋体"/>
          <w:i w:val="0"/>
          <w:iCs w:val="0"/>
          <w:caps w:val="0"/>
          <w:color w:val="auto"/>
          <w:spacing w:val="0"/>
          <w:sz w:val="32"/>
          <w:szCs w:val="32"/>
          <w:shd w:val="clear" w:color="auto" w:fill="FFFFFF"/>
          <w:lang w:val="en-US" w:eastAsia="zh-CN"/>
        </w:rPr>
        <w:t>本着“谁报送、谁负责，谁承诺、谁办理”的原则，认真做好信息公开审核，促进信息公开工作走上制度化、规范化的轨道。</w:t>
      </w:r>
    </w:p>
    <w:p w14:paraId="5365089F">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pPr>
      <w:r>
        <w:rPr>
          <w:rFonts w:hint="eastAsia" w:ascii="宋体" w:hAnsi="宋体" w:eastAsia="宋体" w:cs="宋体"/>
          <w:b/>
          <w:bCs/>
          <w:i w:val="0"/>
          <w:caps w:val="0"/>
          <w:color w:val="000000" w:themeColor="text1"/>
          <w:spacing w:val="0"/>
          <w:sz w:val="32"/>
          <w:szCs w:val="32"/>
          <w:shd w:val="clear" w:fill="FFFFFF"/>
          <w:lang w:val="en-US" w:eastAsia="zh-CN"/>
          <w14:textFill>
            <w14:solidFill>
              <w14:schemeClr w14:val="tx1"/>
            </w14:solidFill>
          </w14:textFill>
        </w:rPr>
        <w:t>政府信息公开</w:t>
      </w:r>
      <w:r>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t>平台建设</w:t>
      </w:r>
    </w:p>
    <w:p w14:paraId="299C2F4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宋体" w:cs="宋体"/>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宋体" w:hAnsi="宋体" w:eastAsia="宋体" w:cs="宋体"/>
          <w:i w:val="0"/>
          <w:iCs w:val="0"/>
          <w:caps w:val="0"/>
          <w:color w:val="auto"/>
          <w:spacing w:val="0"/>
          <w:sz w:val="32"/>
          <w:szCs w:val="32"/>
          <w:shd w:val="clear" w:color="auto" w:fill="FFFFFF"/>
        </w:rPr>
        <w:t>为加强政府信息资源的规范化、标准化、信息化管理，我镇依托政府门户网站为第一平台作用，</w:t>
      </w:r>
      <w:r>
        <w:rPr>
          <w:rFonts w:hint="eastAsia" w:ascii="宋体" w:hAnsi="宋体" w:eastAsia="宋体" w:cs="宋体"/>
          <w:i w:val="0"/>
          <w:iCs w:val="0"/>
          <w:caps w:val="0"/>
          <w:color w:val="auto"/>
          <w:spacing w:val="0"/>
          <w:sz w:val="32"/>
          <w:szCs w:val="32"/>
          <w:shd w:val="clear" w:color="auto" w:fill="FFFFFF"/>
          <w:lang w:val="en-US" w:eastAsia="zh-CN"/>
        </w:rPr>
        <w:t>线上线下相结合，</w:t>
      </w:r>
      <w:r>
        <w:rPr>
          <w:rFonts w:hint="eastAsia" w:ascii="宋体" w:hAnsi="宋体" w:eastAsia="宋体" w:cs="宋体"/>
          <w:i w:val="0"/>
          <w:iCs w:val="0"/>
          <w:caps w:val="0"/>
          <w:color w:val="auto"/>
          <w:spacing w:val="0"/>
          <w:sz w:val="32"/>
          <w:szCs w:val="32"/>
          <w:shd w:val="clear" w:color="auto" w:fill="FFFFFF"/>
        </w:rPr>
        <w:t>同时还通过传统方法和网络技术相结合的方式进行政务公开，利用</w:t>
      </w:r>
      <w:r>
        <w:rPr>
          <w:rFonts w:hint="eastAsia" w:ascii="宋体" w:hAnsi="宋体" w:eastAsia="宋体" w:cs="宋体"/>
          <w:i w:val="0"/>
          <w:iCs w:val="0"/>
          <w:caps w:val="0"/>
          <w:color w:val="auto"/>
          <w:spacing w:val="0"/>
          <w:sz w:val="32"/>
          <w:szCs w:val="32"/>
          <w:shd w:val="clear" w:color="auto" w:fill="FFFFFF"/>
          <w:lang w:val="en-US" w:eastAsia="zh-CN"/>
        </w:rPr>
        <w:t>镇村</w:t>
      </w:r>
      <w:r>
        <w:rPr>
          <w:rFonts w:hint="eastAsia" w:ascii="宋体" w:hAnsi="宋体" w:eastAsia="宋体" w:cs="宋体"/>
          <w:i w:val="0"/>
          <w:iCs w:val="0"/>
          <w:caps w:val="0"/>
          <w:color w:val="auto"/>
          <w:spacing w:val="0"/>
          <w:sz w:val="32"/>
          <w:szCs w:val="32"/>
          <w:shd w:val="clear" w:color="auto" w:fill="FFFFFF"/>
        </w:rPr>
        <w:t>信息公示栏、村民微信群等方式</w:t>
      </w:r>
      <w:r>
        <w:rPr>
          <w:rFonts w:hint="eastAsia" w:ascii="宋体" w:hAnsi="宋体" w:eastAsia="宋体" w:cs="宋体"/>
          <w:i w:val="0"/>
          <w:iCs w:val="0"/>
          <w:caps w:val="0"/>
          <w:color w:val="auto"/>
          <w:spacing w:val="0"/>
          <w:sz w:val="32"/>
          <w:szCs w:val="32"/>
          <w:shd w:val="clear" w:color="auto" w:fill="FFFFFF"/>
          <w:lang w:val="en-US" w:eastAsia="zh-CN"/>
        </w:rPr>
        <w:t>进行公开</w:t>
      </w:r>
      <w:r>
        <w:rPr>
          <w:rFonts w:hint="eastAsia" w:ascii="宋体" w:hAnsi="宋体" w:eastAsia="宋体" w:cs="宋体"/>
          <w:i w:val="0"/>
          <w:iCs w:val="0"/>
          <w:caps w:val="0"/>
          <w:color w:val="auto"/>
          <w:spacing w:val="0"/>
          <w:sz w:val="32"/>
          <w:szCs w:val="32"/>
          <w:shd w:val="clear" w:color="auto" w:fill="FFFFFF"/>
        </w:rPr>
        <w:t>。</w:t>
      </w:r>
      <w:r>
        <w:rPr>
          <w:rFonts w:hint="eastAsia" w:ascii="宋体" w:hAnsi="宋体" w:eastAsia="宋体" w:cs="宋体"/>
          <w:i w:val="0"/>
          <w:iCs w:val="0"/>
          <w:caps w:val="0"/>
          <w:color w:val="auto"/>
          <w:spacing w:val="0"/>
          <w:sz w:val="32"/>
          <w:szCs w:val="32"/>
          <w:shd w:val="clear" w:color="auto" w:fill="FFFFFF"/>
          <w:lang w:eastAsia="zh-CN"/>
        </w:rPr>
        <w:t>我镇</w:t>
      </w:r>
      <w:r>
        <w:rPr>
          <w:rFonts w:hint="eastAsia" w:ascii="宋体" w:hAnsi="宋体" w:eastAsia="宋体" w:cs="宋体"/>
          <w:i w:val="0"/>
          <w:iCs w:val="0"/>
          <w:caps w:val="0"/>
          <w:color w:val="auto"/>
          <w:spacing w:val="0"/>
          <w:sz w:val="32"/>
          <w:szCs w:val="32"/>
          <w:shd w:val="clear" w:color="auto" w:fill="FFFFFF"/>
          <w:lang w:val="en-US" w:eastAsia="zh-CN"/>
        </w:rPr>
        <w:t>2025年下半年通过</w:t>
      </w:r>
      <w:r>
        <w:rPr>
          <w:rFonts w:hint="eastAsia" w:ascii="宋体" w:hAnsi="宋体" w:eastAsia="宋体" w:cs="宋体"/>
          <w:i w:val="0"/>
          <w:iCs w:val="0"/>
          <w:caps w:val="0"/>
          <w:color w:val="auto"/>
          <w:spacing w:val="0"/>
          <w:sz w:val="32"/>
          <w:szCs w:val="32"/>
          <w:shd w:val="clear" w:color="auto" w:fill="FFFFFF"/>
          <w:lang w:eastAsia="zh-CN"/>
        </w:rPr>
        <w:t>开展“固定开放月”活动，</w:t>
      </w:r>
      <w:r>
        <w:rPr>
          <w:rFonts w:hint="eastAsia" w:asciiTheme="minorEastAsia" w:hAnsiTheme="minorEastAsia" w:eastAsiaTheme="minorEastAsia" w:cstheme="minorEastAsia"/>
          <w:i w:val="0"/>
          <w:iCs w:val="0"/>
          <w:caps w:val="0"/>
          <w:color w:val="000000"/>
          <w:spacing w:val="0"/>
          <w:sz w:val="32"/>
          <w:szCs w:val="32"/>
          <w:shd w:val="clear" w:fill="FFFFFF"/>
          <w:lang w:val="en-US" w:eastAsia="zh-CN"/>
        </w:rPr>
        <w:t>不断提升群众对政府工作的知晓度、参与度和满意度</w:t>
      </w:r>
      <w:r>
        <w:rPr>
          <w:rFonts w:hint="eastAsia" w:asciiTheme="minorEastAsia" w:hAnsiTheme="minorEastAsia" w:eastAsiaTheme="minorEastAsia" w:cstheme="minorEastAsia"/>
          <w:i w:val="0"/>
          <w:iCs w:val="0"/>
          <w:caps w:val="0"/>
          <w:color w:val="000000"/>
          <w:spacing w:val="0"/>
          <w:sz w:val="32"/>
          <w:szCs w:val="32"/>
          <w:shd w:val="clear" w:fill="FFFFFF"/>
        </w:rPr>
        <w:t>，全面提升政务公开质量和实效</w:t>
      </w:r>
      <w:r>
        <w:rPr>
          <w:rFonts w:hint="eastAsia" w:asciiTheme="minorEastAsia" w:hAnsiTheme="minorEastAsia" w:cstheme="minorEastAsia"/>
          <w:i w:val="0"/>
          <w:iCs w:val="0"/>
          <w:caps w:val="0"/>
          <w:color w:val="000000"/>
          <w:spacing w:val="0"/>
          <w:sz w:val="32"/>
          <w:szCs w:val="32"/>
          <w:shd w:val="clear" w:fill="FFFFFF"/>
          <w:lang w:eastAsia="zh-CN"/>
        </w:rPr>
        <w:t>。</w:t>
      </w:r>
      <w:r>
        <w:rPr>
          <w:rFonts w:hint="eastAsia" w:ascii="宋体" w:hAnsi="宋体" w:eastAsia="宋体" w:cs="宋体"/>
          <w:i w:val="0"/>
          <w:iCs w:val="0"/>
          <w:caps w:val="0"/>
          <w:color w:val="auto"/>
          <w:spacing w:val="0"/>
          <w:sz w:val="32"/>
          <w:szCs w:val="32"/>
          <w:shd w:val="clear" w:color="auto" w:fill="FFFFFF"/>
        </w:rPr>
        <w:t>坚持“以公开为原则，不公开为例外”的要求，不断拓展信息公开渠道，积极推进公开平台建设，不断加强新媒体矩阵建设，优化完善政府门户网站。</w:t>
      </w:r>
    </w:p>
    <w:p w14:paraId="28699A3D">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pPr>
      <w:r>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t>监督保障</w:t>
      </w:r>
    </w:p>
    <w:p w14:paraId="7B05DE49">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宋体" w:hAnsi="宋体" w:eastAsia="宋体" w:cs="宋体"/>
          <w:i w:val="0"/>
          <w:iCs w:val="0"/>
          <w:caps w:val="0"/>
          <w:color w:val="auto"/>
          <w:spacing w:val="0"/>
          <w:sz w:val="32"/>
          <w:szCs w:val="32"/>
          <w:shd w:val="clear" w:color="auto" w:fill="FFFFFF"/>
          <w:lang w:val="en-US" w:eastAsia="zh-CN"/>
        </w:rPr>
      </w:pPr>
      <w:r>
        <w:rPr>
          <w:rFonts w:hint="eastAsia" w:ascii="宋体" w:hAnsi="宋体" w:eastAsia="宋体" w:cs="宋体"/>
          <w:i w:val="0"/>
          <w:iCs w:val="0"/>
          <w:caps w:val="0"/>
          <w:color w:val="auto"/>
          <w:spacing w:val="0"/>
          <w:sz w:val="32"/>
          <w:szCs w:val="32"/>
          <w:shd w:val="clear" w:color="auto" w:fill="FFFFFF"/>
          <w:lang w:val="en-US" w:eastAsia="zh-CN"/>
        </w:rPr>
        <w:t>2025</w:t>
      </w:r>
      <w:r>
        <w:rPr>
          <w:rFonts w:hint="eastAsia" w:ascii="宋体" w:hAnsi="宋体" w:eastAsia="宋体" w:cs="宋体"/>
          <w:i w:val="0"/>
          <w:iCs w:val="0"/>
          <w:caps w:val="0"/>
          <w:color w:val="auto"/>
          <w:spacing w:val="0"/>
          <w:sz w:val="32"/>
          <w:szCs w:val="32"/>
          <w:shd w:val="clear" w:color="auto" w:fill="FFFFFF"/>
        </w:rPr>
        <w:t>年我镇严格落实政府信息公开保密审查制度，确保政府信息公开真实、及时、有效、安全，由党政办公室牵头负责信息发布与平台维护工作，定期对各部门信息公开工作开展监督检查，对发现的问题立行立改</w:t>
      </w:r>
      <w:r>
        <w:rPr>
          <w:rFonts w:hint="eastAsia" w:ascii="宋体" w:hAnsi="宋体" w:eastAsia="宋体" w:cs="宋体"/>
          <w:i w:val="0"/>
          <w:iCs w:val="0"/>
          <w:caps w:val="0"/>
          <w:color w:val="auto"/>
          <w:spacing w:val="0"/>
          <w:sz w:val="32"/>
          <w:szCs w:val="32"/>
          <w:shd w:val="clear" w:color="auto" w:fill="FFFFFF"/>
        </w:rPr>
        <w:t>。</w:t>
      </w:r>
    </w:p>
    <w:p w14:paraId="4B79E7AC">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lang w:val="en-US" w:eastAsia="zh-CN"/>
        </w:rPr>
      </w:pPr>
      <w:r>
        <w:rPr>
          <w:rFonts w:hint="eastAsia" w:ascii="黑体" w:hAnsi="黑体" w:eastAsia="黑体" w:cs="黑体"/>
          <w:b w:val="0"/>
          <w:bCs w:val="0"/>
          <w:kern w:val="2"/>
          <w:sz w:val="32"/>
          <w:szCs w:val="32"/>
          <w:shd w:val="clear" w:color="auto" w:fill="FFFFFF"/>
          <w:lang w:val="en-US" w:eastAsia="zh-CN" w:bidi="ar-SA"/>
        </w:rPr>
        <w:t>主动公开政府信息情况</w:t>
      </w:r>
    </w:p>
    <w:tbl>
      <w:tblPr>
        <w:tblStyle w:val="5"/>
        <w:tblW w:w="9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2455"/>
        <w:gridCol w:w="2455"/>
        <w:gridCol w:w="2455"/>
        <w:gridCol w:w="2455"/>
      </w:tblGrid>
      <w:tr w14:paraId="5E90B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l2br w:val="nil"/>
              <w:tr2bl w:val="nil"/>
            </w:tcBorders>
            <w:shd w:val="clear" w:color="auto" w:fill="FFFFFF" w:themeFill="background1"/>
            <w:tcMar>
              <w:left w:w="57" w:type="dxa"/>
              <w:right w:w="57" w:type="dxa"/>
            </w:tcMar>
            <w:vAlign w:val="center"/>
          </w:tcPr>
          <w:p w14:paraId="4A1EE3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color w:val="000000"/>
                <w:kern w:val="0"/>
                <w:sz w:val="32"/>
                <w:szCs w:val="32"/>
                <w:lang w:val="en-US" w:eastAsia="zh-CN" w:bidi="ar"/>
              </w:rPr>
              <w:t>第二十条第（一）项</w:t>
            </w:r>
          </w:p>
        </w:tc>
      </w:tr>
      <w:tr w14:paraId="26219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613" w:hRule="atLeast"/>
          <w:jc w:val="center"/>
        </w:trPr>
        <w:tc>
          <w:tcPr>
            <w:tcW w:w="2455" w:type="dxa"/>
            <w:tcBorders>
              <w:tl2br w:val="nil"/>
              <w:tr2bl w:val="nil"/>
            </w:tcBorders>
            <w:shd w:val="clear" w:color="auto" w:fill="auto"/>
            <w:tcMar>
              <w:left w:w="57" w:type="dxa"/>
              <w:right w:w="57" w:type="dxa"/>
            </w:tcMar>
            <w:vAlign w:val="center"/>
          </w:tcPr>
          <w:p w14:paraId="0894C4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l2br w:val="nil"/>
              <w:tr2bl w:val="nil"/>
            </w:tcBorders>
            <w:shd w:val="clear" w:color="auto" w:fill="auto"/>
            <w:tcMar>
              <w:left w:w="57" w:type="dxa"/>
              <w:right w:w="57" w:type="dxa"/>
            </w:tcMar>
            <w:vAlign w:val="center"/>
          </w:tcPr>
          <w:p w14:paraId="4E3AE3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l2br w:val="nil"/>
              <w:tr2bl w:val="nil"/>
            </w:tcBorders>
            <w:shd w:val="clear" w:color="auto" w:fill="auto"/>
            <w:tcMar>
              <w:left w:w="57" w:type="dxa"/>
              <w:right w:w="57" w:type="dxa"/>
            </w:tcMar>
            <w:vAlign w:val="center"/>
          </w:tcPr>
          <w:p w14:paraId="55C1B2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l2br w:val="nil"/>
              <w:tr2bl w:val="nil"/>
            </w:tcBorders>
            <w:shd w:val="clear" w:color="auto" w:fill="auto"/>
            <w:tcMar>
              <w:left w:w="57" w:type="dxa"/>
              <w:right w:w="57" w:type="dxa"/>
            </w:tcMar>
            <w:vAlign w:val="center"/>
          </w:tcPr>
          <w:p w14:paraId="6B1A33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14:paraId="353A8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14:paraId="4A20F1D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l2br w:val="nil"/>
              <w:tr2bl w:val="nil"/>
            </w:tcBorders>
            <w:shd w:val="clear" w:color="auto" w:fill="auto"/>
            <w:tcMar>
              <w:left w:w="57" w:type="dxa"/>
              <w:right w:w="57" w:type="dxa"/>
            </w:tcMar>
            <w:vAlign w:val="center"/>
          </w:tcPr>
          <w:p w14:paraId="1441FD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l2br w:val="nil"/>
              <w:tr2bl w:val="nil"/>
            </w:tcBorders>
            <w:shd w:val="clear" w:color="auto" w:fill="auto"/>
            <w:tcMar>
              <w:left w:w="57" w:type="dxa"/>
              <w:right w:w="57" w:type="dxa"/>
            </w:tcMar>
            <w:vAlign w:val="center"/>
          </w:tcPr>
          <w:p w14:paraId="1DCF98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l2br w:val="nil"/>
              <w:tr2bl w:val="nil"/>
            </w:tcBorders>
            <w:shd w:val="clear" w:color="auto" w:fill="auto"/>
            <w:tcMar>
              <w:left w:w="57" w:type="dxa"/>
              <w:right w:w="57" w:type="dxa"/>
            </w:tcMar>
            <w:vAlign w:val="center"/>
          </w:tcPr>
          <w:p w14:paraId="3E18E9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14:paraId="528CD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14:paraId="21526E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l2br w:val="nil"/>
              <w:tr2bl w:val="nil"/>
            </w:tcBorders>
            <w:shd w:val="clear" w:color="auto" w:fill="auto"/>
            <w:tcMar>
              <w:left w:w="57" w:type="dxa"/>
              <w:right w:w="57" w:type="dxa"/>
            </w:tcMar>
            <w:vAlign w:val="center"/>
          </w:tcPr>
          <w:p w14:paraId="091A44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l2br w:val="nil"/>
              <w:tr2bl w:val="nil"/>
            </w:tcBorders>
            <w:shd w:val="clear" w:color="auto" w:fill="auto"/>
            <w:tcMar>
              <w:left w:w="57" w:type="dxa"/>
              <w:right w:w="57" w:type="dxa"/>
            </w:tcMar>
            <w:vAlign w:val="center"/>
          </w:tcPr>
          <w:p w14:paraId="4AEAD8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l2br w:val="nil"/>
              <w:tr2bl w:val="nil"/>
            </w:tcBorders>
            <w:shd w:val="clear" w:color="auto" w:fill="auto"/>
            <w:tcMar>
              <w:left w:w="57" w:type="dxa"/>
              <w:right w:w="57" w:type="dxa"/>
            </w:tcMar>
            <w:vAlign w:val="center"/>
          </w:tcPr>
          <w:p w14:paraId="116E56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kern w:val="0"/>
                <w:sz w:val="32"/>
                <w:szCs w:val="32"/>
                <w:lang w:val="en-US" w:eastAsia="zh-CN" w:bidi="ar"/>
              </w:rPr>
              <w:t>0</w:t>
            </w:r>
          </w:p>
        </w:tc>
      </w:tr>
      <w:tr w14:paraId="50500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l2br w:val="nil"/>
              <w:tr2bl w:val="nil"/>
            </w:tcBorders>
            <w:shd w:val="clear" w:color="auto" w:fill="FFFFFF" w:themeFill="background1"/>
            <w:tcMar>
              <w:left w:w="57" w:type="dxa"/>
              <w:right w:w="57" w:type="dxa"/>
            </w:tcMar>
            <w:vAlign w:val="center"/>
          </w:tcPr>
          <w:p w14:paraId="2841BC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14:paraId="1602E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14:paraId="3854A7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l2br w:val="nil"/>
              <w:tr2bl w:val="nil"/>
            </w:tcBorders>
            <w:shd w:val="clear" w:color="auto" w:fill="auto"/>
            <w:tcMar>
              <w:left w:w="57" w:type="dxa"/>
              <w:right w:w="57" w:type="dxa"/>
            </w:tcMar>
            <w:vAlign w:val="center"/>
          </w:tcPr>
          <w:p w14:paraId="04C789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14:paraId="67146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14:paraId="15F5EA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l2br w:val="nil"/>
              <w:tr2bl w:val="nil"/>
            </w:tcBorders>
            <w:shd w:val="clear" w:color="auto" w:fill="auto"/>
            <w:tcMar>
              <w:left w:w="57" w:type="dxa"/>
              <w:right w:w="57" w:type="dxa"/>
            </w:tcMar>
            <w:vAlign w:val="center"/>
          </w:tcPr>
          <w:p w14:paraId="6AF59B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楷体_GB2312" w:hAnsi="楷体_GB2312" w:eastAsia="楷体_GB2312" w:cs="楷体_GB2312"/>
                <w:b w:val="0"/>
                <w:bCs w:val="0"/>
                <w:kern w:val="0"/>
                <w:sz w:val="32"/>
                <w:szCs w:val="32"/>
                <w:lang w:val="en-US" w:eastAsia="zh-CN" w:bidi="ar"/>
              </w:rPr>
              <w:t>0</w:t>
            </w:r>
          </w:p>
        </w:tc>
      </w:tr>
      <w:tr w14:paraId="41C37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l2br w:val="nil"/>
              <w:tr2bl w:val="nil"/>
            </w:tcBorders>
            <w:shd w:val="clear" w:color="auto" w:fill="FFFFFF" w:themeFill="background1"/>
            <w:tcMar>
              <w:left w:w="57" w:type="dxa"/>
              <w:right w:w="57" w:type="dxa"/>
            </w:tcMar>
            <w:vAlign w:val="center"/>
          </w:tcPr>
          <w:p w14:paraId="08D644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14:paraId="3E257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14:paraId="5F7CB4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l2br w:val="nil"/>
              <w:tr2bl w:val="nil"/>
            </w:tcBorders>
            <w:shd w:val="clear" w:color="auto" w:fill="auto"/>
            <w:tcMar>
              <w:left w:w="57" w:type="dxa"/>
              <w:right w:w="57" w:type="dxa"/>
            </w:tcMar>
            <w:vAlign w:val="center"/>
          </w:tcPr>
          <w:p w14:paraId="7513EE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14:paraId="53945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14:paraId="42E9C6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l2br w:val="nil"/>
              <w:tr2bl w:val="nil"/>
            </w:tcBorders>
            <w:shd w:val="clear" w:color="auto" w:fill="auto"/>
            <w:tcMar>
              <w:left w:w="57" w:type="dxa"/>
              <w:right w:w="57" w:type="dxa"/>
            </w:tcMar>
            <w:vAlign w:val="center"/>
          </w:tcPr>
          <w:p w14:paraId="7281EA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14:paraId="144E9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14:paraId="28901A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l2br w:val="nil"/>
              <w:tr2bl w:val="nil"/>
            </w:tcBorders>
            <w:shd w:val="clear" w:color="auto" w:fill="auto"/>
            <w:tcMar>
              <w:left w:w="57" w:type="dxa"/>
              <w:right w:w="57" w:type="dxa"/>
            </w:tcMar>
            <w:vAlign w:val="center"/>
          </w:tcPr>
          <w:p w14:paraId="130B77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14:paraId="4A28D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9820" w:type="dxa"/>
            <w:gridSpan w:val="4"/>
            <w:tcBorders>
              <w:tl2br w:val="nil"/>
              <w:tr2bl w:val="nil"/>
            </w:tcBorders>
            <w:shd w:val="clear" w:color="auto" w:fill="FFFFFF" w:themeFill="background1"/>
            <w:tcMar>
              <w:left w:w="57" w:type="dxa"/>
              <w:right w:w="57" w:type="dxa"/>
            </w:tcMar>
            <w:vAlign w:val="center"/>
          </w:tcPr>
          <w:p w14:paraId="24413C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14:paraId="6A881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14:paraId="172CFCD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l2br w:val="nil"/>
              <w:tr2bl w:val="nil"/>
            </w:tcBorders>
            <w:shd w:val="clear" w:color="auto" w:fill="auto"/>
            <w:tcMar>
              <w:left w:w="57" w:type="dxa"/>
              <w:right w:w="57" w:type="dxa"/>
            </w:tcMar>
            <w:vAlign w:val="center"/>
          </w:tcPr>
          <w:p w14:paraId="00AC11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14:paraId="44F59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jc w:val="center"/>
        </w:trPr>
        <w:tc>
          <w:tcPr>
            <w:tcW w:w="2455" w:type="dxa"/>
            <w:tcBorders>
              <w:tl2br w:val="nil"/>
              <w:tr2bl w:val="nil"/>
            </w:tcBorders>
            <w:shd w:val="clear" w:color="auto" w:fill="auto"/>
            <w:tcMar>
              <w:left w:w="57" w:type="dxa"/>
              <w:right w:w="57" w:type="dxa"/>
            </w:tcMar>
            <w:vAlign w:val="center"/>
          </w:tcPr>
          <w:p w14:paraId="1BB8D9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l2br w:val="nil"/>
              <w:tr2bl w:val="nil"/>
            </w:tcBorders>
            <w:shd w:val="clear" w:color="auto" w:fill="auto"/>
            <w:tcMar>
              <w:left w:w="57" w:type="dxa"/>
              <w:right w:w="57" w:type="dxa"/>
            </w:tcMar>
            <w:vAlign w:val="center"/>
          </w:tcPr>
          <w:p w14:paraId="49AE42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bl>
    <w:p w14:paraId="1E11FE81">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leftChars="0" w:right="0" w:firstLine="640" w:firstLineChars="200"/>
        <w:jc w:val="both"/>
        <w:rPr>
          <w:rFonts w:hint="eastAsia"/>
          <w:lang w:val="en-US" w:eastAsia="zh-CN"/>
        </w:rPr>
      </w:pPr>
      <w:bookmarkStart w:id="0" w:name="_GoBack"/>
      <w:bookmarkEnd w:id="0"/>
      <w:r>
        <w:rPr>
          <w:rFonts w:hint="eastAsia" w:ascii="黑体" w:hAnsi="黑体" w:eastAsia="黑体" w:cs="黑体"/>
          <w:b w:val="0"/>
          <w:bCs w:val="0"/>
          <w:kern w:val="2"/>
          <w:sz w:val="32"/>
          <w:szCs w:val="32"/>
          <w:shd w:val="clear" w:color="auto" w:fill="FFFFFF"/>
          <w:lang w:val="en-US" w:eastAsia="zh-CN" w:bidi="ar-SA"/>
        </w:rPr>
        <w:t>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466"/>
        <w:gridCol w:w="411"/>
        <w:gridCol w:w="438"/>
        <w:gridCol w:w="450"/>
        <w:gridCol w:w="471"/>
      </w:tblGrid>
      <w:tr w14:paraId="1175429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57C745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69864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14:paraId="5D7A55C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6600" w:type="dxa"/>
            <w:gridSpan w:val="3"/>
            <w:vMerge w:val="continue"/>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340535D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B49AA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14:paraId="4EBF20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73D95C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14:paraId="6F3E98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3FB110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4BECB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1946C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14:paraId="5FCF8F7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045CD58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5689B4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61E68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14:paraId="2CCF8F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A3B9A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14:paraId="3EB682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A8708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8A5C2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69F43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63C0D4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14:paraId="5052F93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636D5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2AF04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2D95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E1E4F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4BFE2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38F67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B727B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10F4D5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14:paraId="75C3A83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98E04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FEBCF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57A1B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62CA5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660DC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525EA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E6381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1ED71F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14:paraId="6789765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E6C0F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04C89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B1859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E7639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F9ED8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1ACC3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1497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CB8E4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347F6A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55CF00A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1BCB43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EC6C1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D1B63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284E4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21A28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12F54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5802C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8F26C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FCCFD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14:paraId="764B21D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E164B1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80F60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2AD2FF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4A4DE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113D8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E9CC7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ABA6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F704C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4D9A7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30BEE7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27D8569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268A93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30D04E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3278C0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93693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A3CCF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9D10C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3EE13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077CE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EC5776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6D7D39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5E6D50C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703D2D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E83C6C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3B5D6CC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BCB34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B928E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3FC55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F847C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8AC7D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79272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1F92E8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523AAC5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F98A31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18D352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4FEA53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FA729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70CF6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E1C48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3B61A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662F0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C60AA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57DD05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6F3B680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02558B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6013CD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66CD41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43DD3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20E82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D3A8C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7A3FB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5195B6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A117F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3F8176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4B5A03B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C468C7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98447E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5A4854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D641A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557EA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E741A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011BC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1BCBA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30B68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60E5C5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692E591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4F90BA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B0ADDD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68A726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4E284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A1B9A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D9747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118EA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8A711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EECB7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77ABA7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6A79506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1C7C97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52DB39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73CA4E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EC770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09C75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5897E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9314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E1386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D344C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39AF20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4924911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408A4D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41E2A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5A811D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5A1C77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37D31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7989D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C53C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6E9A0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05824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48AC38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4FB3159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68" w:hRule="atLeast"/>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6DC62B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F79132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4A4485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3A967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894B44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1DA3E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CC7EB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B6283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5FD0C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143CDB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12D3431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1AA8DA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70362F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1B9402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4E95B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1673A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EF324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F757B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A11478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FF36A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7B7FCD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7545A4B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EEFBD5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965BC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6B2A76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7F53C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7B646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2826F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08382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F1A8D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D8A6E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78472E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2BFB830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90099D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4C0B97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0E028B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E346D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1776C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EF86E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BC478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A487B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7D84E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53479F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0B03C8C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21D140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ECA8B2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156A350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00EB3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B24012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C812C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93DA1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9252B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C4BC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7B8C56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047DF18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39" w:hRule="atLeast"/>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3649E6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4A7BA8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0195E8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6C053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C92F7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C558D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0C4D4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4CE7E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A26F1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742BA2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629907F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1A02F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8A2071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F2CC2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718AB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48175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E73A6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19F83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4FCDD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555CD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B6B92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14:paraId="6B3F58C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166" w:hRule="atLeast"/>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F67C5D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9D6AA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A62208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6B3E2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8040F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1A3F1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B098B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642AB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0DB74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07B4DE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kern w:val="0"/>
                <w:sz w:val="32"/>
                <w:szCs w:val="32"/>
                <w:lang w:val="en-US" w:eastAsia="zh-CN" w:bidi="ar"/>
              </w:rPr>
            </w:pPr>
          </w:p>
          <w:p w14:paraId="2898A1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kern w:val="0"/>
                <w:sz w:val="32"/>
                <w:szCs w:val="32"/>
                <w:lang w:val="en-US" w:eastAsia="zh-CN" w:bidi="ar"/>
              </w:rPr>
            </w:pPr>
          </w:p>
          <w:p w14:paraId="38D857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14:paraId="148D0FA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D22483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67D6BF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6F89F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FDC8F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DE1F0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5B35A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2AC5E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2186F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BA32C7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BB74E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14:paraId="180D93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99AAA7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317FF4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6FA4F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13740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41F97C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B20AB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AFDBC2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1261C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D1E97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22C775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207BC40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E99DB3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C2F7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70107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B4E83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83D1C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29354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95A4A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BB97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4AE541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5E79BB8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56084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83887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EBE710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1829E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4C73A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F4706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68727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EC087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kern w:val="0"/>
                <w:sz w:val="32"/>
                <w:szCs w:val="32"/>
                <w:lang w:val="en-US" w:eastAsia="zh-CN" w:bidi="ar"/>
              </w:rPr>
              <w:t>0</w:t>
            </w:r>
          </w:p>
        </w:tc>
      </w:tr>
    </w:tbl>
    <w:p w14:paraId="26ECD0FF">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5"/>
        <w:tblW w:w="97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46E9C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jc w:val="center"/>
        </w:trPr>
        <w:tc>
          <w:tcPr>
            <w:tcW w:w="3245" w:type="dxa"/>
            <w:gridSpan w:val="5"/>
            <w:shd w:val="clear" w:color="auto" w:fill="auto"/>
            <w:tcMar>
              <w:left w:w="108" w:type="dxa"/>
              <w:right w:w="108" w:type="dxa"/>
            </w:tcMar>
            <w:vAlign w:val="center"/>
          </w:tcPr>
          <w:p w14:paraId="29D0CD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503" w:type="dxa"/>
            <w:gridSpan w:val="10"/>
            <w:shd w:val="clear" w:color="auto" w:fill="auto"/>
            <w:tcMar>
              <w:left w:w="108" w:type="dxa"/>
              <w:right w:w="108" w:type="dxa"/>
            </w:tcMar>
            <w:vAlign w:val="center"/>
          </w:tcPr>
          <w:p w14:paraId="1AD2EA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14:paraId="7CDC0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9" w:type="dxa"/>
            <w:vMerge w:val="restart"/>
            <w:shd w:val="clear" w:color="auto" w:fill="auto"/>
            <w:tcMar>
              <w:left w:w="108" w:type="dxa"/>
              <w:right w:w="108" w:type="dxa"/>
            </w:tcMar>
            <w:vAlign w:val="center"/>
          </w:tcPr>
          <w:p w14:paraId="749E2E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结果维持</w:t>
            </w:r>
          </w:p>
        </w:tc>
        <w:tc>
          <w:tcPr>
            <w:tcW w:w="649" w:type="dxa"/>
            <w:vMerge w:val="restart"/>
            <w:shd w:val="clear" w:color="auto" w:fill="auto"/>
            <w:tcMar>
              <w:left w:w="108" w:type="dxa"/>
              <w:right w:w="108" w:type="dxa"/>
            </w:tcMar>
            <w:vAlign w:val="center"/>
          </w:tcPr>
          <w:p w14:paraId="630ABF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9" w:type="dxa"/>
            <w:vMerge w:val="restart"/>
            <w:shd w:val="clear" w:color="auto" w:fill="auto"/>
            <w:tcMar>
              <w:left w:w="108" w:type="dxa"/>
              <w:right w:w="108" w:type="dxa"/>
            </w:tcMar>
            <w:vAlign w:val="center"/>
          </w:tcPr>
          <w:p w14:paraId="059E6D2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9" w:type="dxa"/>
            <w:vMerge w:val="restart"/>
            <w:shd w:val="clear" w:color="auto" w:fill="auto"/>
            <w:tcMar>
              <w:left w:w="108" w:type="dxa"/>
              <w:right w:w="108" w:type="dxa"/>
            </w:tcMar>
            <w:vAlign w:val="center"/>
          </w:tcPr>
          <w:p w14:paraId="4F4DF4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9" w:type="dxa"/>
            <w:vMerge w:val="restart"/>
            <w:shd w:val="clear" w:color="auto" w:fill="auto"/>
            <w:tcMar>
              <w:left w:w="108" w:type="dxa"/>
              <w:right w:w="108" w:type="dxa"/>
            </w:tcMar>
            <w:vAlign w:val="center"/>
          </w:tcPr>
          <w:p w14:paraId="18A4619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总计</w:t>
            </w:r>
          </w:p>
        </w:tc>
        <w:tc>
          <w:tcPr>
            <w:tcW w:w="3248" w:type="dxa"/>
            <w:gridSpan w:val="5"/>
            <w:shd w:val="clear" w:color="auto" w:fill="auto"/>
            <w:tcMar>
              <w:left w:w="108" w:type="dxa"/>
              <w:right w:w="108" w:type="dxa"/>
            </w:tcMar>
            <w:vAlign w:val="center"/>
          </w:tcPr>
          <w:p w14:paraId="2F74629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未经复议直接起诉</w:t>
            </w:r>
          </w:p>
        </w:tc>
        <w:tc>
          <w:tcPr>
            <w:tcW w:w="3255" w:type="dxa"/>
            <w:gridSpan w:val="5"/>
            <w:shd w:val="clear" w:color="auto" w:fill="auto"/>
            <w:tcMar>
              <w:left w:w="108" w:type="dxa"/>
              <w:right w:w="108" w:type="dxa"/>
            </w:tcMar>
            <w:vAlign w:val="center"/>
          </w:tcPr>
          <w:p w14:paraId="6DBCE55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复议后起诉</w:t>
            </w:r>
          </w:p>
        </w:tc>
      </w:tr>
      <w:tr w14:paraId="501BC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jc w:val="center"/>
        </w:trPr>
        <w:tc>
          <w:tcPr>
            <w:tcW w:w="649" w:type="dxa"/>
            <w:vMerge w:val="continue"/>
            <w:shd w:val="clear" w:color="auto" w:fill="auto"/>
            <w:tcMar>
              <w:left w:w="108" w:type="dxa"/>
              <w:right w:w="108" w:type="dxa"/>
            </w:tcMar>
            <w:vAlign w:val="center"/>
          </w:tcPr>
          <w:p w14:paraId="4F32D1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p>
        </w:tc>
        <w:tc>
          <w:tcPr>
            <w:tcW w:w="649" w:type="dxa"/>
            <w:vMerge w:val="continue"/>
            <w:shd w:val="clear" w:color="auto" w:fill="auto"/>
            <w:tcMar>
              <w:left w:w="108" w:type="dxa"/>
              <w:right w:w="108" w:type="dxa"/>
            </w:tcMar>
            <w:vAlign w:val="center"/>
          </w:tcPr>
          <w:p w14:paraId="28ABE0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p>
        </w:tc>
        <w:tc>
          <w:tcPr>
            <w:tcW w:w="649" w:type="dxa"/>
            <w:vMerge w:val="continue"/>
            <w:shd w:val="clear" w:color="auto" w:fill="auto"/>
            <w:tcMar>
              <w:left w:w="108" w:type="dxa"/>
              <w:right w:w="108" w:type="dxa"/>
            </w:tcMar>
            <w:vAlign w:val="center"/>
          </w:tcPr>
          <w:p w14:paraId="73C3BB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p>
        </w:tc>
        <w:tc>
          <w:tcPr>
            <w:tcW w:w="649" w:type="dxa"/>
            <w:vMerge w:val="continue"/>
            <w:shd w:val="clear" w:color="auto" w:fill="auto"/>
            <w:tcMar>
              <w:left w:w="108" w:type="dxa"/>
              <w:right w:w="108" w:type="dxa"/>
            </w:tcMar>
            <w:vAlign w:val="center"/>
          </w:tcPr>
          <w:p w14:paraId="241820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p>
        </w:tc>
        <w:tc>
          <w:tcPr>
            <w:tcW w:w="649" w:type="dxa"/>
            <w:vMerge w:val="continue"/>
            <w:shd w:val="clear" w:color="auto" w:fill="auto"/>
            <w:tcMar>
              <w:left w:w="108" w:type="dxa"/>
              <w:right w:w="108" w:type="dxa"/>
            </w:tcMar>
            <w:vAlign w:val="center"/>
          </w:tcPr>
          <w:p w14:paraId="703B69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p>
        </w:tc>
        <w:tc>
          <w:tcPr>
            <w:tcW w:w="649" w:type="dxa"/>
            <w:shd w:val="clear" w:color="auto" w:fill="auto"/>
            <w:tcMar>
              <w:left w:w="108" w:type="dxa"/>
              <w:right w:w="108" w:type="dxa"/>
            </w:tcMar>
            <w:vAlign w:val="center"/>
          </w:tcPr>
          <w:p w14:paraId="142BF2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9" w:type="dxa"/>
            <w:shd w:val="clear" w:color="auto" w:fill="auto"/>
            <w:tcMar>
              <w:left w:w="108" w:type="dxa"/>
              <w:right w:w="108" w:type="dxa"/>
            </w:tcMar>
            <w:vAlign w:val="center"/>
          </w:tcPr>
          <w:p w14:paraId="5A5E20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50" w:type="dxa"/>
            <w:shd w:val="clear" w:color="auto" w:fill="auto"/>
            <w:tcMar>
              <w:left w:w="108" w:type="dxa"/>
              <w:right w:w="108" w:type="dxa"/>
            </w:tcMar>
            <w:vAlign w:val="center"/>
          </w:tcPr>
          <w:p w14:paraId="268E504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50" w:type="dxa"/>
            <w:shd w:val="clear" w:color="auto" w:fill="auto"/>
            <w:tcMar>
              <w:left w:w="108" w:type="dxa"/>
              <w:right w:w="108" w:type="dxa"/>
            </w:tcMar>
            <w:vAlign w:val="center"/>
          </w:tcPr>
          <w:p w14:paraId="4DDB97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50" w:type="dxa"/>
            <w:shd w:val="clear" w:color="auto" w:fill="auto"/>
            <w:tcMar>
              <w:left w:w="108" w:type="dxa"/>
              <w:right w:w="108" w:type="dxa"/>
            </w:tcMar>
            <w:vAlign w:val="center"/>
          </w:tcPr>
          <w:p w14:paraId="29B58B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总计</w:t>
            </w:r>
          </w:p>
        </w:tc>
        <w:tc>
          <w:tcPr>
            <w:tcW w:w="651" w:type="dxa"/>
            <w:shd w:val="clear" w:color="auto" w:fill="auto"/>
            <w:tcMar>
              <w:left w:w="108" w:type="dxa"/>
              <w:right w:w="108" w:type="dxa"/>
            </w:tcMar>
            <w:vAlign w:val="center"/>
          </w:tcPr>
          <w:p w14:paraId="290F56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51" w:type="dxa"/>
            <w:shd w:val="clear" w:color="auto" w:fill="auto"/>
            <w:tcMar>
              <w:left w:w="108" w:type="dxa"/>
              <w:right w:w="108" w:type="dxa"/>
            </w:tcMar>
            <w:vAlign w:val="center"/>
          </w:tcPr>
          <w:p w14:paraId="51A244B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51" w:type="dxa"/>
            <w:shd w:val="clear" w:color="auto" w:fill="auto"/>
            <w:tcMar>
              <w:left w:w="108" w:type="dxa"/>
              <w:right w:w="108" w:type="dxa"/>
            </w:tcMar>
            <w:vAlign w:val="center"/>
          </w:tcPr>
          <w:p w14:paraId="230CF3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51" w:type="dxa"/>
            <w:shd w:val="clear" w:color="auto" w:fill="auto"/>
            <w:tcMar>
              <w:left w:w="108" w:type="dxa"/>
              <w:right w:w="108" w:type="dxa"/>
            </w:tcMar>
            <w:vAlign w:val="center"/>
          </w:tcPr>
          <w:p w14:paraId="0AFD30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51" w:type="dxa"/>
            <w:shd w:val="clear" w:color="auto" w:fill="auto"/>
            <w:tcMar>
              <w:left w:w="108" w:type="dxa"/>
              <w:right w:w="108" w:type="dxa"/>
            </w:tcMar>
            <w:vAlign w:val="center"/>
          </w:tcPr>
          <w:p w14:paraId="757DF9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总计</w:t>
            </w:r>
          </w:p>
        </w:tc>
      </w:tr>
      <w:tr w14:paraId="3B2EC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672" w:hRule="atLeast"/>
          <w:jc w:val="center"/>
        </w:trPr>
        <w:tc>
          <w:tcPr>
            <w:tcW w:w="649" w:type="dxa"/>
            <w:shd w:val="clear" w:color="auto" w:fill="auto"/>
            <w:tcMar>
              <w:left w:w="108" w:type="dxa"/>
              <w:right w:w="108" w:type="dxa"/>
            </w:tcMar>
            <w:vAlign w:val="center"/>
          </w:tcPr>
          <w:p w14:paraId="5207C7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49" w:type="dxa"/>
            <w:shd w:val="clear" w:color="auto" w:fill="auto"/>
            <w:tcMar>
              <w:left w:w="108" w:type="dxa"/>
              <w:right w:w="108" w:type="dxa"/>
            </w:tcMar>
            <w:vAlign w:val="center"/>
          </w:tcPr>
          <w:p w14:paraId="437240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49" w:type="dxa"/>
            <w:shd w:val="clear" w:color="auto" w:fill="auto"/>
            <w:tcMar>
              <w:left w:w="108" w:type="dxa"/>
              <w:right w:w="108" w:type="dxa"/>
            </w:tcMar>
            <w:vAlign w:val="center"/>
          </w:tcPr>
          <w:p w14:paraId="52954C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49" w:type="dxa"/>
            <w:shd w:val="clear" w:color="auto" w:fill="auto"/>
            <w:tcMar>
              <w:left w:w="108" w:type="dxa"/>
              <w:right w:w="108" w:type="dxa"/>
            </w:tcMar>
            <w:vAlign w:val="center"/>
          </w:tcPr>
          <w:p w14:paraId="7BD49D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49" w:type="dxa"/>
            <w:shd w:val="clear" w:color="auto" w:fill="auto"/>
            <w:tcMar>
              <w:left w:w="108" w:type="dxa"/>
              <w:right w:w="108" w:type="dxa"/>
            </w:tcMar>
            <w:vAlign w:val="center"/>
          </w:tcPr>
          <w:p w14:paraId="1EDCC14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49" w:type="dxa"/>
            <w:shd w:val="clear" w:color="auto" w:fill="auto"/>
            <w:tcMar>
              <w:left w:w="108" w:type="dxa"/>
              <w:right w:w="108" w:type="dxa"/>
            </w:tcMar>
            <w:vAlign w:val="center"/>
          </w:tcPr>
          <w:p w14:paraId="789A81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49" w:type="dxa"/>
            <w:shd w:val="clear" w:color="auto" w:fill="auto"/>
            <w:tcMar>
              <w:left w:w="108" w:type="dxa"/>
              <w:right w:w="108" w:type="dxa"/>
            </w:tcMar>
            <w:vAlign w:val="center"/>
          </w:tcPr>
          <w:p w14:paraId="71C313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0" w:type="dxa"/>
            <w:shd w:val="clear" w:color="auto" w:fill="auto"/>
            <w:tcMar>
              <w:left w:w="108" w:type="dxa"/>
              <w:right w:w="108" w:type="dxa"/>
            </w:tcMar>
            <w:vAlign w:val="center"/>
          </w:tcPr>
          <w:p w14:paraId="36A8F8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0" w:type="dxa"/>
            <w:shd w:val="clear" w:color="auto" w:fill="auto"/>
            <w:tcMar>
              <w:left w:w="108" w:type="dxa"/>
              <w:right w:w="108" w:type="dxa"/>
            </w:tcMar>
            <w:vAlign w:val="center"/>
          </w:tcPr>
          <w:p w14:paraId="090FFE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0" w:type="dxa"/>
            <w:shd w:val="clear" w:color="auto" w:fill="auto"/>
            <w:tcMar>
              <w:left w:w="108" w:type="dxa"/>
              <w:right w:w="108" w:type="dxa"/>
            </w:tcMar>
            <w:vAlign w:val="center"/>
          </w:tcPr>
          <w:p w14:paraId="06A7E8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1" w:type="dxa"/>
            <w:shd w:val="clear" w:color="auto" w:fill="auto"/>
            <w:tcMar>
              <w:left w:w="108" w:type="dxa"/>
              <w:right w:w="108" w:type="dxa"/>
            </w:tcMar>
            <w:vAlign w:val="center"/>
          </w:tcPr>
          <w:p w14:paraId="4307B5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1" w:type="dxa"/>
            <w:shd w:val="clear" w:color="auto" w:fill="auto"/>
            <w:tcMar>
              <w:left w:w="108" w:type="dxa"/>
              <w:right w:w="108" w:type="dxa"/>
            </w:tcMar>
            <w:vAlign w:val="center"/>
          </w:tcPr>
          <w:p w14:paraId="583276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1" w:type="dxa"/>
            <w:shd w:val="clear" w:color="auto" w:fill="auto"/>
            <w:tcMar>
              <w:left w:w="108" w:type="dxa"/>
              <w:right w:w="108" w:type="dxa"/>
            </w:tcMar>
            <w:vAlign w:val="center"/>
          </w:tcPr>
          <w:p w14:paraId="452AFD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1" w:type="dxa"/>
            <w:shd w:val="clear" w:color="auto" w:fill="auto"/>
            <w:tcMar>
              <w:left w:w="108" w:type="dxa"/>
              <w:right w:w="108" w:type="dxa"/>
            </w:tcMar>
            <w:vAlign w:val="center"/>
          </w:tcPr>
          <w:p w14:paraId="424CDF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1" w:type="dxa"/>
            <w:shd w:val="clear" w:color="auto" w:fill="auto"/>
            <w:tcMar>
              <w:left w:w="108" w:type="dxa"/>
              <w:right w:w="108" w:type="dxa"/>
            </w:tcMar>
            <w:vAlign w:val="center"/>
          </w:tcPr>
          <w:p w14:paraId="7C7D46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bl>
    <w:p w14:paraId="61A2916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14:paraId="28E8970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宋体" w:cs="宋体"/>
          <w:i w:val="0"/>
          <w:iCs w:val="0"/>
          <w:caps w:val="0"/>
          <w:color w:val="auto"/>
          <w:spacing w:val="0"/>
          <w:sz w:val="32"/>
          <w:szCs w:val="32"/>
          <w:shd w:val="clear" w:color="auto" w:fill="FFFFFF"/>
          <w:lang w:val="en-US" w:eastAsia="zh-CN"/>
        </w:rPr>
      </w:pPr>
      <w:r>
        <w:rPr>
          <w:rFonts w:hint="eastAsia" w:ascii="宋体" w:hAnsi="宋体" w:eastAsia="宋体" w:cs="宋体"/>
          <w:i w:val="0"/>
          <w:iCs w:val="0"/>
          <w:caps w:val="0"/>
          <w:color w:val="auto"/>
          <w:spacing w:val="0"/>
          <w:sz w:val="32"/>
          <w:szCs w:val="32"/>
          <w:shd w:val="clear" w:color="auto" w:fill="FFFFFF"/>
          <w:lang w:val="en-US" w:eastAsia="zh-CN"/>
        </w:rPr>
        <w:t>（一）存在的问题</w:t>
      </w:r>
    </w:p>
    <w:p w14:paraId="4BE9E2D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宋体" w:cs="宋体"/>
          <w:i w:val="0"/>
          <w:iCs w:val="0"/>
          <w:caps w:val="0"/>
          <w:color w:val="auto"/>
          <w:spacing w:val="0"/>
          <w:sz w:val="32"/>
          <w:szCs w:val="32"/>
          <w:shd w:val="clear" w:color="auto" w:fill="FFFFFF"/>
          <w:lang w:val="en-US" w:eastAsia="zh-CN"/>
        </w:rPr>
      </w:pPr>
      <w:r>
        <w:rPr>
          <w:rFonts w:hint="eastAsia" w:ascii="宋体" w:hAnsi="宋体" w:eastAsia="宋体" w:cs="宋体"/>
          <w:i w:val="0"/>
          <w:iCs w:val="0"/>
          <w:caps w:val="0"/>
          <w:color w:val="auto"/>
          <w:spacing w:val="0"/>
          <w:sz w:val="32"/>
          <w:szCs w:val="32"/>
          <w:shd w:val="clear" w:color="auto" w:fill="FFFFFF"/>
          <w:lang w:val="en-US" w:eastAsia="zh-CN"/>
        </w:rPr>
        <w:t>目前我镇在政府信息公开工作上仍然存在一些问题。一、政务公开信息的质量不高，内容深度不足；二、对更新周期把握不准，有些信息更新不及时；三、内容可读性有待提升。</w:t>
      </w:r>
    </w:p>
    <w:p w14:paraId="25AA3016">
      <w:pPr>
        <w:pStyle w:val="4"/>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宋体" w:cs="宋体"/>
          <w:i w:val="0"/>
          <w:iCs w:val="0"/>
          <w:caps w:val="0"/>
          <w:color w:val="auto"/>
          <w:spacing w:val="0"/>
          <w:sz w:val="32"/>
          <w:szCs w:val="32"/>
          <w:shd w:val="clear" w:color="auto" w:fill="FFFFFF"/>
          <w:lang w:val="en-US" w:eastAsia="zh-CN"/>
        </w:rPr>
      </w:pPr>
      <w:r>
        <w:rPr>
          <w:rFonts w:hint="eastAsia" w:ascii="宋体" w:hAnsi="宋体" w:eastAsia="宋体" w:cs="宋体"/>
          <w:i w:val="0"/>
          <w:iCs w:val="0"/>
          <w:caps w:val="0"/>
          <w:color w:val="auto"/>
          <w:spacing w:val="0"/>
          <w:sz w:val="32"/>
          <w:szCs w:val="32"/>
          <w:shd w:val="clear" w:color="auto" w:fill="FFFFFF"/>
          <w:lang w:val="en-US" w:eastAsia="zh-CN"/>
        </w:rPr>
        <w:t>改进措施</w:t>
      </w:r>
    </w:p>
    <w:p w14:paraId="5ED0F36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宋体" w:cs="宋体"/>
          <w:i w:val="0"/>
          <w:iCs w:val="0"/>
          <w:caps w:val="0"/>
          <w:color w:val="auto"/>
          <w:spacing w:val="0"/>
          <w:sz w:val="32"/>
          <w:szCs w:val="32"/>
          <w:shd w:val="clear" w:color="auto" w:fill="FFFFFF"/>
          <w:lang w:val="en-US" w:eastAsia="zh-CN"/>
        </w:rPr>
      </w:pPr>
      <w:r>
        <w:rPr>
          <w:rFonts w:hint="eastAsia" w:ascii="宋体" w:hAnsi="宋体" w:eastAsia="宋体" w:cs="宋体"/>
          <w:i w:val="0"/>
          <w:iCs w:val="0"/>
          <w:caps w:val="0"/>
          <w:color w:val="auto"/>
          <w:spacing w:val="0"/>
          <w:sz w:val="32"/>
          <w:szCs w:val="32"/>
          <w:shd w:val="clear" w:color="auto" w:fill="FFFFFF"/>
          <w:lang w:val="en-US" w:eastAsia="zh-CN"/>
        </w:rPr>
        <w:t>一是严格信息发布“三审制”，加强信息公开内容审核，定期对问题进行复盘举一反三，使公开信息质量进一步提高；二是积极对接上级部门，遇到问题及时请教咨询，确保信息公开时效性；三市创新解读形式，采用图文解读、短视频、问答访谈等方式增强可读性</w:t>
      </w:r>
      <w:r>
        <w:rPr>
          <w:rFonts w:hint="eastAsia" w:ascii="宋体" w:hAnsi="宋体" w:eastAsia="宋体" w:cs="宋体"/>
          <w:i w:val="0"/>
          <w:iCs w:val="0"/>
          <w:caps w:val="0"/>
          <w:color w:val="auto"/>
          <w:spacing w:val="0"/>
          <w:sz w:val="32"/>
          <w:szCs w:val="32"/>
          <w:shd w:val="clear" w:color="auto" w:fill="FFFFFF"/>
          <w:lang w:val="en-US" w:eastAsia="zh-CN"/>
        </w:rPr>
        <w:t>。</w:t>
      </w:r>
    </w:p>
    <w:p w14:paraId="3F76618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黑体" w:hAnsi="黑体" w:eastAsia="黑体" w:cs="黑体"/>
          <w:i w:val="0"/>
          <w:iCs w:val="0"/>
          <w:caps w:val="0"/>
          <w:color w:val="auto"/>
          <w:spacing w:val="0"/>
          <w:sz w:val="32"/>
          <w:szCs w:val="32"/>
          <w:shd w:val="clear" w:color="auto" w:fill="FFFFFF"/>
          <w:lang w:val="en-US" w:eastAsia="zh-CN"/>
        </w:rPr>
      </w:pPr>
      <w:r>
        <w:rPr>
          <w:rFonts w:hint="eastAsia" w:ascii="黑体" w:hAnsi="黑体" w:eastAsia="黑体" w:cs="黑体"/>
          <w:i w:val="0"/>
          <w:iCs w:val="0"/>
          <w:caps w:val="0"/>
          <w:color w:val="auto"/>
          <w:spacing w:val="0"/>
          <w:sz w:val="32"/>
          <w:szCs w:val="32"/>
          <w:shd w:val="clear" w:color="auto" w:fill="FFFFFF"/>
          <w:lang w:val="en-US" w:eastAsia="zh-CN"/>
        </w:rPr>
        <w:t>六、其他需要报告的事项</w:t>
      </w:r>
    </w:p>
    <w:p w14:paraId="45D1BF6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宋体" w:cs="宋体"/>
          <w:i w:val="0"/>
          <w:iCs w:val="0"/>
          <w:caps w:val="0"/>
          <w:color w:val="auto"/>
          <w:spacing w:val="0"/>
          <w:sz w:val="32"/>
          <w:szCs w:val="32"/>
          <w:shd w:val="clear" w:color="auto" w:fill="FFFFFF"/>
          <w:lang w:val="en-US" w:eastAsia="zh-CN"/>
        </w:rPr>
      </w:pPr>
      <w:r>
        <w:rPr>
          <w:rFonts w:hint="eastAsia" w:ascii="宋体" w:hAnsi="宋体" w:eastAsia="宋体" w:cs="宋体"/>
          <w:i w:val="0"/>
          <w:iCs w:val="0"/>
          <w:caps w:val="0"/>
          <w:color w:val="auto"/>
          <w:spacing w:val="0"/>
          <w:sz w:val="32"/>
          <w:szCs w:val="32"/>
          <w:shd w:val="clear" w:color="auto" w:fill="FFFFFF"/>
          <w:lang w:val="en-US" w:eastAsia="zh-CN"/>
        </w:rPr>
        <w:t>2025年度，我镇无收取信息处理费情况。</w:t>
      </w:r>
    </w:p>
    <w:p w14:paraId="1E61AB1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宋体" w:cs="宋体"/>
          <w:i w:val="0"/>
          <w:iCs w:val="0"/>
          <w:caps w:val="0"/>
          <w:color w:val="auto"/>
          <w:spacing w:val="0"/>
          <w:sz w:val="32"/>
          <w:szCs w:val="32"/>
          <w:shd w:val="clear" w:color="auto" w:fill="FFFFFF"/>
          <w:lang w:val="en-US" w:eastAsia="zh-CN"/>
        </w:rPr>
      </w:pPr>
    </w:p>
    <w:p w14:paraId="6429384C">
      <w:pPr>
        <w:keepNext w:val="0"/>
        <w:keepLines w:val="0"/>
        <w:pageBreakBefore w:val="0"/>
        <w:kinsoku/>
        <w:wordWrap/>
        <w:overflowPunct/>
        <w:topLinePunct w:val="0"/>
        <w:autoSpaceDE/>
        <w:autoSpaceDN/>
        <w:bidi w:val="0"/>
        <w:adjustRightInd/>
        <w:snapToGrid/>
        <w:spacing w:line="560" w:lineRule="exact"/>
        <w:ind w:firstLine="636" w:firstLineChars="199"/>
        <w:textAlignment w:val="auto"/>
      </w:pPr>
    </w:p>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417" w:header="851" w:footer="1417" w:gutter="0"/>
      <w:pgBorders>
        <w:top w:val="none" w:sz="0" w:space="0"/>
        <w:left w:val="none" w:sz="0" w:space="0"/>
        <w:bottom w:val="none" w:sz="0" w:space="0"/>
        <w:right w:val="none" w:sz="0" w:space="0"/>
      </w:pgBorders>
      <w:pgNumType w:fmt="decimal"/>
      <w:cols w:space="0" w:num="1"/>
      <w:titlePg/>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354808">
    <w:pPr>
      <w:pStyle w:val="3"/>
      <w:ind w:firstLine="360"/>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B7ECEB">
                          <w:pPr>
                            <w:pStyle w:val="3"/>
                          </w:pPr>
                          <w:r>
                            <w:t xml:space="preserve">— </w:t>
                          </w:r>
                          <w:r>
                            <w:fldChar w:fldCharType="begin"/>
                          </w:r>
                          <w:r>
                            <w:instrText xml:space="preserve"> PAGE  \* MERGEFORMAT </w:instrText>
                          </w:r>
                          <w:r>
                            <w:fldChar w:fldCharType="separate"/>
                          </w:r>
                          <w:r>
                            <w:t>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5B7ECEB">
                    <w:pPr>
                      <w:pStyle w:val="3"/>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31B964">
    <w:pPr>
      <w:pStyle w:val="3"/>
      <w:ind w:firstLine="280" w:firstLineChars="10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F08996">
    <w:pPr>
      <w:pStyle w:val="3"/>
      <w:ind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E1E2C7">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4E1E2C7">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91E6BB">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DDE405">
    <w:pPr>
      <w:ind w:left="64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709592">
    <w:pPr>
      <w:ind w:firstLine="6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983D74"/>
    <w:multiLevelType w:val="singleLevel"/>
    <w:tmpl w:val="AA983D74"/>
    <w:lvl w:ilvl="0" w:tentative="0">
      <w:start w:val="1"/>
      <w:numFmt w:val="chineseCounting"/>
      <w:suff w:val="nothing"/>
      <w:lvlText w:val="%1、"/>
      <w:lvlJc w:val="left"/>
      <w:rPr>
        <w:rFonts w:hint="eastAsia"/>
      </w:rPr>
    </w:lvl>
  </w:abstractNum>
  <w:abstractNum w:abstractNumId="1">
    <w:nsid w:val="03D12B8E"/>
    <w:multiLevelType w:val="singleLevel"/>
    <w:tmpl w:val="03D12B8E"/>
    <w:lvl w:ilvl="0" w:tentative="0">
      <w:start w:val="2"/>
      <w:numFmt w:val="chineseCounting"/>
      <w:suff w:val="nothing"/>
      <w:lvlText w:val="（%1）"/>
      <w:lvlJc w:val="left"/>
      <w:rPr>
        <w:rFonts w:hint="eastAsia"/>
      </w:rPr>
    </w:lvl>
  </w:abstractNum>
  <w:abstractNum w:abstractNumId="2">
    <w:nsid w:val="0EEC76EE"/>
    <w:multiLevelType w:val="singleLevel"/>
    <w:tmpl w:val="0EEC76EE"/>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3ZjMyMTBkY2M3NmQwYWVmMzVjYTdkMmE5MmRiMWUifQ=="/>
  </w:docVars>
  <w:rsids>
    <w:rsidRoot w:val="1A5811E8"/>
    <w:rsid w:val="004C52BB"/>
    <w:rsid w:val="0158167D"/>
    <w:rsid w:val="02161DDD"/>
    <w:rsid w:val="087A664E"/>
    <w:rsid w:val="09E66DCB"/>
    <w:rsid w:val="0B544AF8"/>
    <w:rsid w:val="0C655831"/>
    <w:rsid w:val="0CD52552"/>
    <w:rsid w:val="0E606BBD"/>
    <w:rsid w:val="0FE43B51"/>
    <w:rsid w:val="13BB1914"/>
    <w:rsid w:val="154F2B4A"/>
    <w:rsid w:val="16545BDD"/>
    <w:rsid w:val="16C23ECA"/>
    <w:rsid w:val="18315BE9"/>
    <w:rsid w:val="1A5811E8"/>
    <w:rsid w:val="1AD31D3E"/>
    <w:rsid w:val="1D623DC5"/>
    <w:rsid w:val="1F2549A5"/>
    <w:rsid w:val="1FCB7065"/>
    <w:rsid w:val="228523DB"/>
    <w:rsid w:val="25A655E2"/>
    <w:rsid w:val="268A3AF3"/>
    <w:rsid w:val="27D7484C"/>
    <w:rsid w:val="2D5D7EB2"/>
    <w:rsid w:val="30D37F39"/>
    <w:rsid w:val="33CC4759"/>
    <w:rsid w:val="3621472C"/>
    <w:rsid w:val="3677705B"/>
    <w:rsid w:val="3728666B"/>
    <w:rsid w:val="379108E4"/>
    <w:rsid w:val="39E519D2"/>
    <w:rsid w:val="3BEB3E33"/>
    <w:rsid w:val="3E28404F"/>
    <w:rsid w:val="41C11B4F"/>
    <w:rsid w:val="462C207A"/>
    <w:rsid w:val="473D65F2"/>
    <w:rsid w:val="4ABD14F2"/>
    <w:rsid w:val="4B7305B4"/>
    <w:rsid w:val="50A32F39"/>
    <w:rsid w:val="51383D23"/>
    <w:rsid w:val="52E1093B"/>
    <w:rsid w:val="56180C0B"/>
    <w:rsid w:val="56B934B6"/>
    <w:rsid w:val="59C93ECC"/>
    <w:rsid w:val="5B4B2442"/>
    <w:rsid w:val="5E3873B6"/>
    <w:rsid w:val="5F2C2272"/>
    <w:rsid w:val="60E23AF9"/>
    <w:rsid w:val="60EA0710"/>
    <w:rsid w:val="62FA54F0"/>
    <w:rsid w:val="63772494"/>
    <w:rsid w:val="64D57287"/>
    <w:rsid w:val="66386EBE"/>
    <w:rsid w:val="66A707DF"/>
    <w:rsid w:val="73E3206A"/>
    <w:rsid w:val="7530098F"/>
    <w:rsid w:val="7542133C"/>
    <w:rsid w:val="77332045"/>
    <w:rsid w:val="797C3E46"/>
    <w:rsid w:val="7CD54A38"/>
    <w:rsid w:val="7E607AEB"/>
    <w:rsid w:val="7FA16E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footer"/>
    <w:basedOn w:val="1"/>
    <w:autoRedefine/>
    <w:unhideWhenUsed/>
    <w:qFormat/>
    <w:uiPriority w:val="99"/>
    <w:pPr>
      <w:tabs>
        <w:tab w:val="center" w:pos="4153"/>
        <w:tab w:val="right" w:pos="8306"/>
      </w:tabs>
      <w:snapToGrid w:val="0"/>
      <w:spacing w:line="240" w:lineRule="atLeast"/>
      <w:jc w:val="left"/>
    </w:pPr>
    <w:rPr>
      <w:sz w:val="18"/>
      <w:szCs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customStyle="1" w:styleId="7">
    <w:name w:val="样式 行距: 固定值 28.9 磅"/>
    <w:basedOn w:val="1"/>
    <w:autoRedefine/>
    <w:unhideWhenUsed/>
    <w:qFormat/>
    <w:uiPriority w:val="0"/>
    <w:pPr>
      <w:spacing w:line="578" w:lineRule="exact"/>
    </w:pPr>
    <w:rPr>
      <w:rFonts w:hint="eastAsia" w:cs="宋体"/>
      <w:sz w:val="21"/>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2233</Words>
  <Characters>2281</Characters>
  <Lines>0</Lines>
  <Paragraphs>0</Paragraphs>
  <TotalTime>3</TotalTime>
  <ScaleCrop>false</ScaleCrop>
  <LinksUpToDate>false</LinksUpToDate>
  <CharactersWithSpaces>2304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2022-01-05T02:51:00Z</dcterms:created>
  <dc:creator>Mayday.</dc:creator>
  <cp:lastModifiedBy>俊奈</cp:lastModifiedBy>
  <cp:lastPrinted>2025-01-03T06:45:00Z</cp:lastPrinted>
  <dcterms:modified xsi:type="dcterms:W3CDTF">2026-01-26T09:23:23Z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28A969AAE83E410FA8E3C100B3936C3B_13</vt:lpwstr>
  </property>
  <property fmtid="{D5CDD505-2E9C-101B-9397-08002B2CF9AE}" pid="4" name="KSOTemplateDocerSaveRecord">
    <vt:lpwstr>eyJoZGlkIjoiN2NlMzQ5OWFiNDRjZGNjNzY0MDU1NWE1MDFkYmJkYmMiLCJ1c2VySWQiOiIyODA2MTg5MzYifQ==</vt:lpwstr>
  </property>
</Properties>
</file>